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color w:val="365f91"/>
        </w:rPr>
      </w:pPr>
      <w:r>
        <w:rPr>
          <w:color w:val="365f91"/>
        </w:rPr>
      </w:r>
      <w:r>
        <w:rPr>
          <w:color w:val="365f91"/>
        </w:rPr>
      </w:r>
      <w:r>
        <w:rPr>
          <w:color w:val="365f91"/>
        </w:rPr>
      </w:r>
    </w:p>
    <w:p>
      <w:pPr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  <w:t xml:space="preserve">«16» июля 2026 г.</w:t>
      </w:r>
      <w:r>
        <w:rPr>
          <w:color w:val="000000" w:themeColor="text1"/>
          <w:highlight w:val="white"/>
        </w:rPr>
        <w:tab/>
      </w:r>
      <w:r>
        <w:rPr>
          <w:color w:val="000000" w:themeColor="text1"/>
          <w:highlight w:val="white"/>
        </w:rPr>
        <w:tab/>
      </w:r>
      <w:r>
        <w:rPr>
          <w:color w:val="000000" w:themeColor="text1"/>
          <w:highlight w:val="white"/>
        </w:rPr>
        <w:tab/>
      </w:r>
      <w:r>
        <w:rPr>
          <w:color w:val="000000" w:themeColor="text1"/>
          <w:highlight w:val="white"/>
        </w:rPr>
        <w:tab/>
      </w:r>
      <w:r>
        <w:rPr>
          <w:color w:val="000000" w:themeColor="text1"/>
          <w:highlight w:val="white"/>
        </w:rPr>
        <w:tab/>
      </w:r>
      <w:r>
        <w:rPr>
          <w:color w:val="000000" w:themeColor="text1"/>
          <w:highlight w:val="white"/>
        </w:rPr>
        <w:tab/>
      </w:r>
      <w:r>
        <w:rPr>
          <w:color w:val="000000" w:themeColor="text1"/>
          <w:highlight w:val="white"/>
        </w:rPr>
        <w:tab/>
        <w:t xml:space="preserve">                              № 225437-1          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УВЕДОМЛЕНИЕ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widowControl w:val="off"/>
      </w:pPr>
      <w:r>
        <w:t xml:space="preserve">о продлении срока подачи заявок на участие в закупке и </w:t>
      </w:r>
      <w:r/>
    </w:p>
    <w:p>
      <w:pPr>
        <w:jc w:val="center"/>
        <w:widowControl w:val="off"/>
      </w:pPr>
      <w:r>
        <w:t xml:space="preserve">внесении изменений в текст Извещения</w:t>
      </w:r>
      <w:r/>
    </w:p>
    <w:p>
      <w:pPr>
        <w:jc w:val="center"/>
        <w:widowControl w:val="off"/>
      </w:pPr>
      <w:r/>
      <w:r/>
    </w:p>
    <w:p>
      <w:pPr>
        <w:jc w:val="both"/>
        <w:spacing w:before="57" w:beforeAutospacing="0" w:after="57" w:afterAutospacing="0"/>
        <w:widowControl w:val="off"/>
      </w:pPr>
      <w:r>
        <w:rPr>
          <w:highlight w:val="white"/>
        </w:rPr>
        <w:t xml:space="preserve">        </w:t>
      </w:r>
      <w:r>
        <w:rPr>
          <w:bCs/>
          <w:highlight w:val="white"/>
        </w:rPr>
        <w:t xml:space="preserve">В целях удовлетворения нужд Заказчика</w:t>
      </w:r>
      <w:r>
        <w:rPr>
          <w:bCs/>
          <w:highlight w:val="white"/>
        </w:rPr>
        <w:t xml:space="preserve"> </w:t>
      </w:r>
      <w:r>
        <w:rPr>
          <w:bCs/>
          <w:highlight w:val="white"/>
        </w:rPr>
      </w:r>
      <w:r>
        <w:rPr>
          <w:highlight w:val="white"/>
        </w:rPr>
        <w:t xml:space="preserve">АО «ЕИРЦ ЛО»</w:t>
      </w:r>
      <w:r/>
      <w:r>
        <w:rPr>
          <w:bCs/>
          <w:highlight w:val="white"/>
        </w:rPr>
      </w:r>
      <w:r>
        <w:rPr>
          <w:bCs/>
          <w:highlight w:val="white"/>
        </w:rPr>
        <w:t xml:space="preserve"> </w:t>
      </w:r>
      <w:r>
        <w:rPr>
          <w:highlight w:val="white"/>
        </w:rPr>
        <w:t xml:space="preserve">(</w:t>
      </w:r>
      <w:r>
        <w:rPr>
          <w:sz w:val="24"/>
        </w:rPr>
      </w:r>
      <w:r>
        <w:rPr>
          <w:sz w:val="24"/>
        </w:rPr>
      </w:r>
      <w:r>
        <w:rPr>
          <w:sz w:val="24"/>
        </w:rPr>
        <w:t xml:space="preserve">187342, Ленинградская область, Кировский район, г. Кировск, бульвар Партизанской Славы, д. 5, пом. 2-H</w:t>
      </w:r>
      <w:r/>
      <w:r>
        <w:rPr>
          <w:highlight w:val="white"/>
        </w:rPr>
        <w:t xml:space="preserve">) </w:t>
      </w:r>
      <w:r>
        <w:rPr>
          <w:bCs/>
          <w:highlight w:val="white"/>
        </w:rPr>
        <w:t xml:space="preserve">(далее – Заказчик)</w:t>
      </w:r>
      <w:r>
        <w:rPr>
          <w:highlight w:val="white"/>
        </w:rPr>
        <w:t xml:space="preserve"> </w:t>
      </w:r>
      <w:r>
        <w:rPr>
          <w:bCs/>
          <w:highlight w:val="white"/>
        </w:rPr>
        <w:t xml:space="preserve">Организатор закупки ― ООО «Интер РАО ― Центр управления закупками» (119435, </w:t>
      </w:r>
      <w:r>
        <w:rPr>
          <w:rFonts w:hint="eastAsia"/>
          <w:bCs/>
          <w:highlight w:val="white"/>
        </w:rPr>
        <w:t xml:space="preserve">г</w:t>
      </w:r>
      <w:r>
        <w:rPr>
          <w:bCs/>
          <w:highlight w:val="white"/>
        </w:rPr>
        <w:t xml:space="preserve">. </w:t>
      </w:r>
      <w:r>
        <w:rPr>
          <w:rFonts w:hint="eastAsia"/>
          <w:bCs/>
          <w:highlight w:val="white"/>
        </w:rPr>
        <w:t xml:space="preserve">Москва</w:t>
      </w:r>
      <w:r>
        <w:rPr>
          <w:bCs/>
          <w:highlight w:val="white"/>
        </w:rPr>
        <w:t xml:space="preserve">, </w:t>
      </w:r>
      <w:r>
        <w:rPr>
          <w:rFonts w:hint="eastAsia"/>
          <w:bCs/>
          <w:highlight w:val="white"/>
        </w:rPr>
        <w:t xml:space="preserve">ул</w:t>
      </w:r>
      <w:r>
        <w:rPr>
          <w:bCs/>
          <w:highlight w:val="white"/>
        </w:rPr>
        <w:t xml:space="preserve">. </w:t>
      </w:r>
      <w:r>
        <w:rPr>
          <w:rFonts w:hint="eastAsia"/>
          <w:bCs/>
          <w:highlight w:val="white"/>
        </w:rPr>
        <w:t xml:space="preserve">Б</w:t>
      </w:r>
      <w:r>
        <w:rPr>
          <w:bCs/>
          <w:highlight w:val="white"/>
        </w:rPr>
        <w:t xml:space="preserve">. </w:t>
      </w:r>
      <w:r>
        <w:rPr>
          <w:rFonts w:hint="eastAsia"/>
          <w:bCs/>
          <w:highlight w:val="white"/>
        </w:rPr>
        <w:t xml:space="preserve">Пироговская</w:t>
      </w:r>
      <w:r>
        <w:rPr>
          <w:bCs/>
          <w:highlight w:val="white"/>
        </w:rPr>
        <w:t xml:space="preserve">, </w:t>
      </w:r>
      <w:r>
        <w:rPr>
          <w:rFonts w:hint="eastAsia"/>
          <w:bCs/>
          <w:highlight w:val="white"/>
        </w:rPr>
        <w:t xml:space="preserve">д</w:t>
      </w:r>
      <w:r>
        <w:rPr>
          <w:bCs/>
          <w:highlight w:val="white"/>
        </w:rPr>
        <w:t xml:space="preserve">. 27, стр. 3)</w:t>
      </w:r>
      <w:r>
        <w:rPr>
          <w:highlight w:val="white"/>
        </w:rPr>
        <w:t xml:space="preserve"> на основании пункта 4.5.3 </w:t>
      </w:r>
      <w:r>
        <w:rPr>
          <w:highlight w:val="white"/>
        </w:rPr>
        <w:t xml:space="preserve">Извещения </w:t>
      </w:r>
      <w:r>
        <w:rPr>
          <w:highlight w:val="white"/>
        </w:rPr>
        <w:t xml:space="preserve">по проведению запроса котировок в электронной форме</w:t>
      </w:r>
      <w:r>
        <w:rPr>
          <w:highlight w:val="white"/>
        </w:rPr>
        <w:t xml:space="preserve"> </w:t>
      </w:r>
      <w:r>
        <w:rPr>
          <w:highlight w:val="white"/>
        </w:rPr>
        <w:t xml:space="preserve">на право заключения договора на </w:t>
      </w:r>
      <w:r>
        <w:rPr>
          <w:highlight w:val="white"/>
        </w:rPr>
        <w:t xml:space="preserve">поставку </w:t>
      </w:r>
      <w:r/>
      <w:r>
        <w:rPr>
          <w:highlight w:val="white"/>
        </w:rPr>
        <w:t xml:space="preserve">товара: </w:t>
      </w: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  <w:t xml:space="preserve">Приобретение автомобилей малого класса для нужд АО «ЕИРЦ ЛО»</w:t>
      </w: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  <w:t xml:space="preserve"> </w:t>
      </w:r>
      <w:r>
        <w:rPr>
          <w:highlight w:val="white"/>
        </w:rPr>
        <w:t xml:space="preserve">настоящим сообщает о продлении срока подачи заявок на участие в закупке.</w:t>
      </w:r>
      <w:r/>
      <w:r/>
      <w:r>
        <w:rPr>
          <w:highlight w:val="white"/>
        </w:rPr>
      </w:r>
    </w:p>
    <w:p>
      <w:pPr>
        <w:pStyle w:val="1094"/>
        <w:numPr>
          <w:ilvl w:val="0"/>
          <w:numId w:val="0"/>
        </w:numPr>
        <w:ind w:firstLine="709"/>
        <w:jc w:val="both"/>
        <w:spacing w:before="57" w:beforeAutospacing="0" w:after="57" w:afterAutospacing="0"/>
      </w:pPr>
      <w:r>
        <w:rPr>
          <w:highlight w:val="white"/>
        </w:rPr>
        <w:t xml:space="preserve">Читать в следующей редакции пункты Извещения:</w:t>
      </w:r>
      <w:r/>
    </w:p>
    <w:p>
      <w:pPr>
        <w:jc w:val="both"/>
        <w:spacing w:before="57" w:beforeAutospacing="0" w:after="57" w:afterAutospacing="0"/>
        <w:rPr>
          <w:b/>
          <w:bCs/>
          <w:highlight w:val="white"/>
        </w:rPr>
        <w:outlineLvl w:val="0"/>
      </w:pPr>
      <w:r>
        <w:rPr>
          <w:b/>
          <w:highlight w:val="white"/>
        </w:rPr>
        <w:t xml:space="preserve">п. 21 Извещения</w:t>
      </w:r>
      <w:r>
        <w:rPr>
          <w:b/>
          <w:highlight w:val="white"/>
        </w:rPr>
        <w:t xml:space="preserve">: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</w:p>
    <w:p>
      <w:pPr>
        <w:contextualSpacing w:val="0"/>
        <w:ind w:left="0" w:firstLine="0"/>
        <w:jc w:val="both"/>
        <w:spacing w:before="57" w:beforeAutospacing="0" w:after="57" w:afterAutospacing="0"/>
        <w:tabs>
          <w:tab w:val="clear" w:pos="0" w:leader="none"/>
          <w:tab w:val="num" w:pos="851" w:leader="none"/>
        </w:tabs>
        <w:rPr>
          <w:highlight w:val="none"/>
        </w:rPr>
        <w:outlineLvl w:val="0"/>
      </w:pPr>
      <w:r/>
      <w:r>
        <w:tab/>
        <w:t xml:space="preserve">Место подачи и срок окончания подачи заявок на участие в закупке: заявки на участие в закупке должны быть поданы </w:t>
      </w:r>
      <w:r>
        <w:rPr>
          <w:b/>
          <w:bCs/>
        </w:rPr>
        <w:t xml:space="preserve">до 12:00 (по московскому времени) «22» июля 2026 года</w:t>
      </w:r>
      <w:r>
        <w:t xml:space="preserve"> через соответствующий функционал электронной торговой площадки, указанный в пункте 3 Р</w:t>
      </w:r>
      <w:r>
        <w:t xml:space="preserve">аздела 1 «Извещение о проведении закупки».</w:t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before="57" w:beforeAutospacing="0" w:after="57" w:afterAutospacing="0"/>
        <w:rPr>
          <w:b/>
          <w:bCs/>
          <w:highlight w:val="white"/>
        </w:rPr>
        <w:outlineLvl w:val="0"/>
      </w:pPr>
      <w:r>
        <w:rPr>
          <w:b/>
          <w:highlight w:val="white"/>
        </w:rPr>
        <w:t xml:space="preserve">п. 22 Извещения</w:t>
      </w:r>
      <w:r>
        <w:rPr>
          <w:b/>
          <w:highlight w:val="white"/>
        </w:rPr>
        <w:t xml:space="preserve">:</w:t>
      </w:r>
      <w:r>
        <w:rPr>
          <w:b/>
          <w:bCs/>
          <w:highlight w:val="white"/>
        </w:rPr>
      </w:r>
      <w:r>
        <w:rPr>
          <w:b/>
          <w:bCs/>
          <w:highlight w:val="white"/>
        </w:rPr>
      </w:r>
      <w:r>
        <w:rPr>
          <w:highlight w:val="none"/>
        </w:rPr>
      </w:r>
      <w:r>
        <w:rPr>
          <w:highlight w:val="none"/>
        </w:rPr>
      </w:r>
      <w:r>
        <w:rPr>
          <w:b/>
          <w:bCs/>
          <w:highlight w:val="white"/>
        </w:rPr>
      </w:r>
    </w:p>
    <w:p>
      <w:pPr>
        <w:contextualSpacing w:val="0"/>
        <w:ind w:left="0" w:firstLine="0"/>
        <w:jc w:val="both"/>
        <w:tabs>
          <w:tab w:val="clear" w:pos="0" w:leader="none"/>
          <w:tab w:val="num" w:pos="851" w:leader="none"/>
        </w:tabs>
        <w:rPr>
          <w:color w:val="000000" w:themeColor="text1"/>
        </w:rPr>
        <w:outlineLvl w:val="0"/>
      </w:pPr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>
        <w:t xml:space="preserve">Возможность проведения уторговывания: </w:t>
      </w:r>
      <w:r>
        <w:rPr>
          <w:i/>
          <w:color w:val="000000" w:themeColor="text1"/>
        </w:rPr>
        <w:t xml:space="preserve">Возможно.</w:t>
      </w:r>
      <w:bookmarkEnd w:id="0"/>
      <w:r>
        <w:rPr>
          <w:color w:val="000000" w:themeColor="text1"/>
        </w:rPr>
      </w:r>
      <w:bookmarkEnd w:id="0"/>
      <w:r>
        <w:rPr>
          <w:color w:val="000000" w:themeColor="text1"/>
        </w:rPr>
      </w:r>
      <w:bookmarkEnd w:id="0"/>
      <w:r>
        <w:rPr>
          <w:color w:val="000000" w:themeColor="text1"/>
        </w:rPr>
      </w:r>
      <w:bookmarkEnd w:id="0"/>
      <w:r>
        <w:rPr>
          <w:color w:val="000000" w:themeColor="text1"/>
        </w:rPr>
        <w:t xml:space="preserve"> 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96"/>
        <w:contextualSpacing w:val="0"/>
        <w:ind w:left="0" w:firstLine="0"/>
        <w:jc w:val="both"/>
        <w:spacing w:before="60" w:after="60"/>
        <w:rPr>
          <w:i/>
          <w:color w:val="000000" w:themeColor="text1"/>
        </w:rPr>
      </w:pPr>
      <w:r>
        <w:rPr>
          <w:i/>
          <w:color w:val="000000" w:themeColor="text1"/>
        </w:rPr>
        <w:t xml:space="preserve">Предусмотрен этап проведения уторговывания в соответствии с функционалом ЭТП.</w:t>
      </w:r>
      <w:r>
        <w:rPr>
          <w:i/>
          <w:color w:val="000000" w:themeColor="text1"/>
        </w:rPr>
      </w:r>
      <w:r>
        <w:rPr>
          <w:i/>
          <w:color w:val="000000" w:themeColor="text1"/>
        </w:rPr>
      </w:r>
    </w:p>
    <w:p>
      <w:pPr>
        <w:pStyle w:val="1096"/>
        <w:contextualSpacing w:val="0"/>
        <w:ind w:left="0" w:firstLine="0"/>
        <w:jc w:val="both"/>
        <w:spacing w:before="60" w:after="60"/>
        <w:rPr>
          <w:i/>
          <w:color w:val="000000" w:themeColor="text1"/>
        </w:rPr>
      </w:pPr>
      <w:r>
        <w:rPr>
          <w:i/>
          <w:color w:val="000000" w:themeColor="text1"/>
        </w:rPr>
        <w:t xml:space="preserve">Ожидание этапа уторговывания: в течение 1 часа с момента окончания срока подачи заявок.</w:t>
      </w:r>
      <w:r>
        <w:rPr>
          <w:i/>
          <w:color w:val="000000" w:themeColor="text1"/>
        </w:rPr>
      </w:r>
      <w:r>
        <w:rPr>
          <w:i/>
          <w:color w:val="000000" w:themeColor="text1"/>
        </w:rPr>
      </w:r>
    </w:p>
    <w:p>
      <w:pPr>
        <w:pStyle w:val="1096"/>
        <w:contextualSpacing w:val="0"/>
        <w:ind w:left="0" w:firstLine="0"/>
        <w:jc w:val="both"/>
        <w:spacing w:before="60" w:after="60"/>
        <w:rPr>
          <w:i/>
          <w:color w:val="000000" w:themeColor="text1"/>
        </w:rPr>
      </w:pPr>
      <w:r>
        <w:rPr>
          <w:i/>
          <w:color w:val="000000" w:themeColor="text1"/>
        </w:rPr>
        <w:t xml:space="preserve">Проведение уторговывания: не более 3-х часов с момента начала торговой сессии.</w:t>
      </w:r>
      <w:r>
        <w:rPr>
          <w:i/>
          <w:color w:val="000000" w:themeColor="text1"/>
        </w:rPr>
      </w:r>
      <w:r>
        <w:rPr>
          <w:i/>
          <w:color w:val="000000" w:themeColor="text1"/>
        </w:rPr>
      </w:r>
    </w:p>
    <w:p>
      <w:pPr>
        <w:pStyle w:val="1096"/>
        <w:contextualSpacing w:val="0"/>
        <w:ind w:left="0" w:firstLine="0"/>
        <w:jc w:val="both"/>
        <w:spacing w:before="60" w:after="60"/>
        <w:rPr>
          <w:b/>
          <w:bCs/>
          <w:i/>
          <w:color w:val="000000" w:themeColor="text1"/>
        </w:rPr>
      </w:pPr>
      <w:r>
        <w:rPr>
          <w:i/>
          <w:color w:val="000000" w:themeColor="text1"/>
        </w:rPr>
        <w:t xml:space="preserve">Загрузка окончательных предложений: </w:t>
      </w:r>
      <w:r>
        <w:rPr>
          <w:b/>
          <w:bCs/>
          <w:i/>
          <w:color w:val="000000" w:themeColor="text1"/>
        </w:rPr>
        <w:t xml:space="preserve">до «23» июля 2026 г. до 12:00.  </w:t>
      </w:r>
      <w:r>
        <w:rPr>
          <w:b/>
          <w:bCs/>
          <w:i/>
          <w:color w:val="000000" w:themeColor="text1"/>
        </w:rPr>
      </w:r>
      <w:r>
        <w:rPr>
          <w:b/>
          <w:bCs/>
          <w:i/>
          <w:color w:val="000000" w:themeColor="text1"/>
        </w:rPr>
      </w:r>
    </w:p>
    <w:p>
      <w:pPr>
        <w:pStyle w:val="1096"/>
        <w:contextualSpacing w:val="0"/>
        <w:ind w:left="0" w:firstLine="0"/>
        <w:jc w:val="both"/>
        <w:spacing w:before="60" w:after="60"/>
        <w:rPr>
          <w:i/>
          <w:color w:val="000000" w:themeColor="text1"/>
        </w:rPr>
      </w:pPr>
      <w:r>
        <w:rPr>
          <w:i/>
          <w:color w:val="000000" w:themeColor="text1"/>
        </w:rPr>
        <w:t xml:space="preserve">Процедура вскрытия проводится в дату и время окончания загрузки окончательных предложений.</w:t>
      </w:r>
      <w:bookmarkEnd w:id="0"/>
      <w:r>
        <w:rPr>
          <w:i/>
          <w:color w:val="000000" w:themeColor="text1"/>
        </w:rPr>
      </w:r>
      <w:r>
        <w:rPr>
          <w:i/>
          <w:color w:val="000000" w:themeColor="text1"/>
        </w:rPr>
      </w:r>
    </w:p>
    <w:p>
      <w:pPr>
        <w:jc w:val="both"/>
        <w:spacing w:before="57" w:beforeAutospacing="0" w:after="57" w:afterAutospacing="0"/>
        <w:rPr>
          <w:highlight w:val="white"/>
        </w:rPr>
        <w:outlineLvl w:val="0"/>
      </w:pPr>
      <w:r>
        <w:rPr>
          <w:b/>
          <w:highlight w:val="white"/>
        </w:rPr>
        <w:t xml:space="preserve">п. 23 Извещения: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before="57" w:beforeAutospacing="0" w:after="57" w:afterAutospacing="0"/>
        <w:tabs>
          <w:tab w:val="num" w:pos="851" w:leader="none"/>
        </w:tabs>
        <w:rPr>
          <w:b/>
          <w:bCs/>
          <w:i w:val="0"/>
          <w:iCs w:val="0"/>
          <w:color w:val="000000" w:themeColor="text1"/>
        </w:rPr>
        <w:outlineLvl w:val="0"/>
      </w:pPr>
      <w:r>
        <w:t xml:space="preserve">Организатор закупки проведет процедуру вскрытия конвертов: </w:t>
      </w:r>
      <w:r>
        <w:rPr>
          <w:b/>
        </w:rPr>
        <w:t xml:space="preserve">«23</w:t>
      </w:r>
      <w:r>
        <w:rPr>
          <w:b/>
        </w:rPr>
        <w:t xml:space="preserve">» июл</w:t>
      </w:r>
      <w:r>
        <w:rPr>
          <w:b/>
          <w:bCs/>
        </w:rPr>
        <w:t xml:space="preserve">я </w:t>
      </w:r>
      <w:r>
        <w:rPr>
          <w:b/>
        </w:rPr>
        <w:t xml:space="preserve">2026</w:t>
      </w:r>
      <w:r>
        <w:rPr>
          <w:b/>
        </w:rPr>
        <w:t xml:space="preserve"> г</w:t>
      </w:r>
      <w:r>
        <w:rPr>
          <w:b/>
        </w:rPr>
        <w:t xml:space="preserve">ода</w:t>
      </w:r>
      <w:r>
        <w:rPr>
          <w:b/>
          <w:bCs/>
          <w:i w:val="0"/>
          <w:iCs w:val="0"/>
          <w:color w:val="000000" w:themeColor="text1"/>
        </w:rPr>
        <w:t xml:space="preserve">.</w:t>
      </w:r>
      <w:r>
        <w:rPr>
          <w:b/>
          <w:bCs/>
          <w:i w:val="0"/>
          <w:iCs w:val="0"/>
          <w:color w:val="000000" w:themeColor="text1"/>
        </w:rPr>
      </w:r>
      <w:r>
        <w:rPr>
          <w:b/>
          <w:bCs/>
          <w:i w:val="0"/>
          <w:iCs w:val="0"/>
          <w:color w:val="000000" w:themeColor="text1"/>
        </w:rPr>
      </w:r>
    </w:p>
    <w:p>
      <w:pPr>
        <w:jc w:val="both"/>
        <w:spacing w:before="57" w:beforeAutospacing="0" w:after="57" w:afterAutospacing="0"/>
        <w:rPr>
          <w:b/>
          <w:bCs/>
        </w:rPr>
        <w:outlineLvl w:val="0"/>
      </w:pPr>
      <w:r>
        <w:rPr>
          <w:b/>
          <w:highlight w:val="white"/>
        </w:rPr>
        <w:t xml:space="preserve">п. 24 Извещения:</w:t>
      </w:r>
      <w:r>
        <w:rPr>
          <w:b/>
          <w:bCs/>
        </w:rPr>
      </w:r>
      <w:r>
        <w:rPr>
          <w:b/>
          <w:bCs/>
        </w:rPr>
      </w:r>
    </w:p>
    <w:p>
      <w:pPr>
        <w:jc w:val="both"/>
        <w:spacing w:before="57" w:beforeAutospacing="0" w:after="57" w:afterAutospacing="0"/>
        <w:tabs>
          <w:tab w:val="num" w:pos="851" w:leader="none"/>
        </w:tabs>
        <w:rPr>
          <w:bCs w:val="0"/>
          <w:i w:val="0"/>
        </w:rPr>
        <w:outlineLvl w:val="0"/>
      </w:pPr>
      <w:r>
        <w:t xml:space="preserve">Дата рассмотрения предложений Участников закупки и подведения итогов закупки: </w:t>
      </w:r>
      <w:r>
        <w:rPr>
          <w:b/>
          <w:bCs/>
          <w:i w:val="0"/>
          <w:iCs w:val="0"/>
          <w:color w:val="000000" w:themeColor="text1"/>
        </w:rPr>
        <w:t xml:space="preserve">до «12</w:t>
      </w:r>
      <w:r>
        <w:rPr>
          <w:b/>
          <w:bCs/>
          <w:i w:val="0"/>
          <w:iCs w:val="0"/>
          <w:color w:val="000000" w:themeColor="text1"/>
          <w:highlight w:val="white"/>
        </w:rPr>
        <w:t xml:space="preserve">»</w:t>
      </w:r>
      <w:r>
        <w:rPr>
          <w:b/>
          <w:bCs/>
          <w:i w:val="0"/>
          <w:iCs w:val="0"/>
          <w:color w:val="000000" w:themeColor="text1"/>
          <w:highlight w:val="white"/>
        </w:rPr>
        <w:t xml:space="preserve"> </w:t>
      </w:r>
      <w:r>
        <w:rPr>
          <w:b/>
          <w:bCs/>
          <w:i w:val="0"/>
          <w:iCs w:val="0"/>
          <w:color w:val="000000" w:themeColor="text1"/>
          <w:highlight w:val="white"/>
        </w:rPr>
        <w:t xml:space="preserve">а</w:t>
      </w:r>
      <w:r>
        <w:rPr>
          <w:b/>
          <w:bCs/>
          <w:i w:val="0"/>
          <w:iCs w:val="0"/>
          <w:color w:val="000000" w:themeColor="text1"/>
          <w:highlight w:val="white"/>
        </w:rPr>
        <w:t xml:space="preserve">в</w:t>
      </w:r>
      <w:r>
        <w:rPr>
          <w:b/>
          <w:bCs/>
          <w:i w:val="0"/>
          <w:iCs w:val="0"/>
          <w:color w:val="000000" w:themeColor="text1"/>
          <w:highlight w:val="white"/>
        </w:rPr>
        <w:t xml:space="preserve">г</w:t>
      </w:r>
      <w:r>
        <w:rPr>
          <w:b/>
          <w:bCs/>
          <w:i w:val="0"/>
          <w:iCs w:val="0"/>
          <w:color w:val="000000" w:themeColor="text1"/>
          <w:highlight w:val="white"/>
        </w:rPr>
        <w:t xml:space="preserve">у</w:t>
      </w:r>
      <w:r>
        <w:rPr>
          <w:b/>
          <w:bCs/>
          <w:i w:val="0"/>
          <w:iCs w:val="0"/>
          <w:color w:val="000000" w:themeColor="text1"/>
          <w:highlight w:val="white"/>
        </w:rPr>
        <w:t xml:space="preserve">с</w:t>
      </w:r>
      <w:r>
        <w:rPr>
          <w:b/>
          <w:bCs/>
          <w:i w:val="0"/>
          <w:iCs w:val="0"/>
          <w:color w:val="000000" w:themeColor="text1"/>
          <w:highlight w:val="white"/>
        </w:rPr>
        <w:t xml:space="preserve">т</w:t>
      </w:r>
      <w:r>
        <w:rPr>
          <w:b/>
          <w:bCs/>
          <w:i w:val="0"/>
          <w:iCs w:val="0"/>
          <w:color w:val="000000" w:themeColor="text1"/>
          <w:highlight w:val="white"/>
        </w:rPr>
        <w:t xml:space="preserve">а</w:t>
      </w:r>
      <w:r>
        <w:rPr>
          <w:b/>
          <w:bCs/>
          <w:i w:val="0"/>
          <w:iCs w:val="0"/>
          <w:color w:val="000000" w:themeColor="text1"/>
          <w:highlight w:val="white"/>
        </w:rPr>
        <w:t xml:space="preserve"> </w:t>
      </w:r>
      <w:r>
        <w:rPr>
          <w:b/>
          <w:bCs/>
          <w:i w:val="0"/>
          <w:iCs w:val="0"/>
          <w:color w:val="000000" w:themeColor="text1"/>
          <w:highlight w:val="white"/>
        </w:rPr>
        <w:t xml:space="preserve">2</w:t>
      </w:r>
      <w:r>
        <w:rPr>
          <w:b/>
          <w:bCs/>
          <w:i w:val="0"/>
          <w:iCs w:val="0"/>
          <w:color w:val="000000" w:themeColor="text1"/>
          <w:highlight w:val="white"/>
        </w:rPr>
        <w:t xml:space="preserve">0</w:t>
      </w:r>
      <w:r>
        <w:rPr>
          <w:b/>
          <w:bCs/>
          <w:i w:val="0"/>
          <w:iCs w:val="0"/>
          <w:color w:val="000000" w:themeColor="text1"/>
        </w:rPr>
        <w:t xml:space="preserve">26 года.</w:t>
      </w:r>
      <w:r>
        <w:rPr>
          <w:rStyle w:val="1095"/>
          <w:i w:val="0"/>
          <w:iCs w:val="0"/>
        </w:rPr>
        <w:footnoteReference w:id="2"/>
      </w:r>
      <w:r>
        <w:rPr>
          <w:bCs w:val="0"/>
          <w:i w:val="0"/>
        </w:rPr>
      </w:r>
      <w:r>
        <w:rPr>
          <w:bCs w:val="0"/>
          <w:i w:val="0"/>
        </w:rPr>
      </w:r>
    </w:p>
    <w:p>
      <w:pPr>
        <w:jc w:val="both"/>
        <w:spacing w:before="60" w:after="60"/>
        <w:tabs>
          <w:tab w:val="num" w:pos="851" w:leader="none"/>
        </w:tabs>
        <w:outlineLvl w:val="0"/>
      </w:pPr>
      <w:r/>
      <w:r/>
    </w:p>
    <w:p>
      <w:pPr>
        <w:jc w:val="both"/>
        <w:spacing w:before="60" w:after="60"/>
        <w:tabs>
          <w:tab w:val="num" w:pos="851" w:leader="none"/>
        </w:tabs>
        <w:outlineLvl w:val="0"/>
      </w:pPr>
      <w:r/>
      <w:r/>
    </w:p>
    <w:p>
      <w:pPr>
        <w:jc w:val="both"/>
        <w:spacing w:before="60" w:after="60"/>
        <w:tabs>
          <w:tab w:val="num" w:pos="851" w:leader="none"/>
        </w:tabs>
        <w:rPr>
          <w:color w:val="000000" w:themeColor="text1"/>
          <w:highlight w:val="white"/>
        </w:rPr>
        <w:outlineLvl w:val="0"/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sz w:val="16"/>
          <w:szCs w:val="16"/>
        </w:rPr>
        <w:outlineLvl w:val="0"/>
      </w:pPr>
      <w:r>
        <w:rPr>
          <w:sz w:val="16"/>
          <w:szCs w:val="16"/>
        </w:rPr>
        <w:t xml:space="preserve">Исп. А.В. Кузьмина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outlineLvl w:val="0"/>
      </w:pPr>
      <w:r>
        <w:rPr>
          <w:sz w:val="16"/>
          <w:szCs w:val="16"/>
        </w:rPr>
        <w:t xml:space="preserve">8 (495) 664-88-40 доб. 3630</w:t>
      </w:r>
      <w:r>
        <w:rPr>
          <w:color w:val="365f91"/>
          <w:sz w:val="16"/>
          <w:szCs w:val="16"/>
        </w:rPr>
        <w:tab/>
      </w:r>
      <w:r/>
    </w:p>
    <w:p>
      <w:pPr>
        <w:tabs>
          <w:tab w:val="left" w:pos="1553" w:leader="none"/>
        </w:tabs>
      </w:pPr>
      <w:r>
        <w:tab/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567" w:right="567" w:bottom="567" w:left="1134" w:header="142" w:footer="221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ios">
    <w:panose1 w:val="02000603000000000000"/>
  </w:font>
  <w:font w:name="HeliosCond">
    <w:panose1 w:val="02000603000000000000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Общество с ограниченной ответственностью «Интер РАО ― Центр управления закупками»</w:t>
    </w:r>
    <w:r>
      <w:rPr>
        <w:sz w:val="28"/>
        <w:szCs w:val="28"/>
      </w:rPr>
    </w:r>
    <w:r>
      <w:rPr>
        <w:sz w:val="28"/>
        <w:szCs w:val="28"/>
      </w:rPr>
    </w:r>
  </w:p>
  <w:p>
    <w:pPr>
      <w:pStyle w:val="109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9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72"/>
      </w:pPr>
      <w:r>
        <w:rPr>
          <w:rStyle w:val="1095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</w:t>
      </w:r>
      <w:r>
        <w:t xml:space="preserve">ункте.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>
      <w:tblPrEx/>
      <w:trPr>
        <w:trHeight w:val="991"/>
      </w:trPr>
      <w:tc>
        <w:tcPr>
          <w:tcW w:w="11907" w:type="dxa"/>
          <w:vAlign w:val="center"/>
          <w:textDirection w:val="lrTb"/>
          <w:noWrap w:val="false"/>
        </w:tcPr>
        <w:p>
          <w:pPr>
            <w:jc w:val="center"/>
            <w:widowControl w:val="off"/>
            <w:tabs>
              <w:tab w:val="left" w:pos="907" w:leader="none"/>
              <w:tab w:val="left" w:pos="8931" w:leader="none"/>
            </w:tabs>
            <w:rPr>
              <w:lang w:eastAsia="en-US"/>
            </w:rPr>
          </w:pPr>
          <w:r>
            <mc:AlternateContent>
              <mc:Choice Requires="wpg">
                <w:drawing>
                  <wp:inline xmlns:wp="http://schemas.openxmlformats.org/drawingml/2006/wordprocessingDrawing" distT="0" distB="0" distL="0" distR="0">
                    <wp:extent cx="2162175" cy="695325"/>
                    <wp:effectExtent l="0" t="0" r="9525" b="9525"/>
                    <wp:docPr id="1" name="Рисунок 1" descr="Горизонтальный 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Горизонтальный JPG"/>
                            <pic:cNvPicPr>
                              <a:picLocks noChangeAspect="1"/>
                            </pic:cNvPicPr>
                            <pic:nv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2162175" cy="69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mc:Choice>
              <mc:Fallback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width:170.25pt;height:54.75pt;mso-wrap-distance-left:0.00pt;mso-wrap-distance-top:0.00pt;mso-wrap-distance-right:0.00pt;mso-wrap-distance-bottom:0.00pt;" stroked="f">
                    <v:path textboxrect="0,0,0,0"/>
                    <v:imagedata r:id="rId1" o:title=""/>
                  </v:shape>
                </w:pict>
              </mc:Fallback>
            </mc:AlternateContent>
          </w:r>
          <w:r>
            <w:rPr>
              <w:lang w:eastAsia="en-US"/>
            </w:rPr>
          </w:r>
          <w:r>
            <w:rPr>
              <w:lang w:eastAsia="en-US"/>
            </w:rPr>
          </w:r>
        </w:p>
      </w:tc>
    </w:tr>
    <w:tr>
      <w:tblPrEx/>
      <w:trPr>
        <w:trHeight w:val="707"/>
      </w:trPr>
      <w:tc>
        <w:tcPr>
          <w:tcW w:w="11907" w:type="dxa"/>
          <w:vAlign w:val="center"/>
          <w:textDirection w:val="lrTb"/>
          <w:noWrap w:val="false"/>
        </w:tcPr>
        <w:p>
          <w:pPr>
            <w:ind w:left="1168" w:right="1167"/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Пироговская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jc w:val="center"/>
            <w:tabs>
              <w:tab w:val="left" w:pos="8931" w:leader="none"/>
            </w:tabs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Телефон: +7 (495) 664 8840, Факс: +7 (495) 664 8841</w:t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r>
        </w:p>
        <w:p>
          <w:pPr>
            <w:ind w:left="1168" w:right="1167"/>
            <w:jc w:val="center"/>
            <w:widowControl w:val="off"/>
            <w:tabs>
              <w:tab w:val="left" w:pos="8931" w:leader="none"/>
            </w:tabs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www.interrao-zakupki.ru</w:t>
          </w:r>
          <w:r>
            <w:rPr>
              <w:sz w:val="18"/>
              <w:szCs w:val="18"/>
              <w:lang w:eastAsia="en-US"/>
            </w:rPr>
          </w:r>
          <w:r>
            <w:rPr>
              <w:sz w:val="18"/>
              <w:szCs w:val="18"/>
              <w:lang w:eastAsia="en-US"/>
            </w:rPr>
          </w:r>
        </w:p>
      </w:tc>
    </w:tr>
  </w:tbl>
  <w:p>
    <w:pPr>
      <w:pStyle w:val="108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pStyle w:val="1094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5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0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0" w:firstLine="0"/>
        <w:tabs>
          <w:tab w:val="num" w:pos="0" w:leader="none"/>
        </w:tabs>
      </w:pPr>
      <w:rPr>
        <w:rFonts w:ascii="Times New Roman" w:hAnsi="Times New Roman" w:eastAsia="Times New Roman" w:cs="Times New Roman"/>
        <w:b w:val="0"/>
      </w:rPr>
    </w:lvl>
    <w:lvl w:ilvl="2">
      <w:start w:val="1"/>
      <w:numFmt w:val="decimal"/>
      <w:isLgl w:val="false"/>
      <w:suff w:val="tab"/>
      <w:lvlText w:val="%1.%2.%3"/>
      <w:lvlJc w:val="left"/>
      <w:pPr>
        <w:ind w:left="0" w:firstLine="0"/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  <w:sz w:val="28"/>
        <w:szCs w:val="28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4" w:hanging="284"/>
        <w:tabs>
          <w:tab w:val="num" w:pos="0" w:leader="none"/>
        </w:tabs>
      </w:pPr>
      <w:rPr>
        <w:rFonts w:hint="default"/>
        <w:b w:val="0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26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nothing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4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0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2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4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6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8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0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2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45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38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39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4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5">
    <w:multiLevelType w:val="hybridMultilevel"/>
    <w:lvl w:ilvl="0">
      <w:start w:val="1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0" w:leader="none"/>
        </w:tabs>
      </w:pPr>
      <w:rPr>
        <w:rFonts w:ascii="Times New Roman" w:hAnsi="Times New Roman" w:eastAsia="Times New Roman" w:cs="Times New Roman"/>
        <w:b w:val="0"/>
        <w:i w:val="0"/>
        <w:color w:val="auto"/>
      </w:rPr>
    </w:lvl>
    <w:lvl w:ilvl="2">
      <w:start w:val="1"/>
      <w:numFmt w:val="decimal"/>
      <w:isLgl w:val="false"/>
      <w:suff w:val="tab"/>
      <w:lvlText w:val="%1.%2.%3"/>
      <w:lvlJc w:val="left"/>
      <w:pPr>
        <w:tabs>
          <w:tab w:val="num" w:pos="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53" w:hanging="720"/>
        <w:tabs>
          <w:tab w:val="num" w:pos="153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13" w:hanging="1080"/>
        <w:tabs>
          <w:tab w:val="num" w:pos="513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73" w:hanging="1440"/>
        <w:tabs>
          <w:tab w:val="num" w:pos="873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233" w:hanging="1800"/>
        <w:tabs>
          <w:tab w:val="num" w:pos="1233" w:leader="none"/>
        </w:tabs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24"/>
  </w:num>
  <w:num w:numId="4">
    <w:abstractNumId w:val="46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11"/>
  </w:num>
  <w:num w:numId="8">
    <w:abstractNumId w:val="17"/>
  </w:num>
  <w:num w:numId="9">
    <w:abstractNumId w:val="12"/>
  </w:num>
  <w:num w:numId="10">
    <w:abstractNumId w:val="28"/>
  </w:num>
  <w:num w:numId="11">
    <w:abstractNumId w:val="13"/>
  </w:num>
  <w:num w:numId="12">
    <w:abstractNumId w:val="5"/>
  </w:num>
  <w:num w:numId="13">
    <w:abstractNumId w:val="35"/>
  </w:num>
  <w:num w:numId="14">
    <w:abstractNumId w:val="26"/>
  </w:num>
  <w:num w:numId="15">
    <w:abstractNumId w:val="3"/>
  </w:num>
  <w:num w:numId="16">
    <w:abstractNumId w:val="15"/>
  </w:num>
  <w:num w:numId="17">
    <w:abstractNumId w:val="32"/>
  </w:num>
  <w:num w:numId="18">
    <w:abstractNumId w:val="4"/>
  </w:num>
  <w:num w:numId="19">
    <w:abstractNumId w:val="27"/>
  </w:num>
  <w:num w:numId="20">
    <w:abstractNumId w:val="39"/>
  </w:num>
  <w:num w:numId="21">
    <w:abstractNumId w:val="40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31"/>
  </w:num>
  <w:num w:numId="26">
    <w:abstractNumId w:val="34"/>
  </w:num>
  <w:num w:numId="27">
    <w:abstractNumId w:val="0"/>
  </w:num>
  <w:num w:numId="28">
    <w:abstractNumId w:val="6"/>
  </w:num>
  <w:num w:numId="29">
    <w:abstractNumId w:val="20"/>
  </w:num>
  <w:num w:numId="30">
    <w:abstractNumId w:val="36"/>
  </w:num>
  <w:num w:numId="31">
    <w:abstractNumId w:val="38"/>
  </w:num>
  <w:num w:numId="32">
    <w:abstractNumId w:val="41"/>
  </w:num>
  <w:num w:numId="33">
    <w:abstractNumId w:val="47"/>
  </w:num>
  <w:num w:numId="34">
    <w:abstractNumId w:val="9"/>
  </w:num>
  <w:num w:numId="35">
    <w:abstractNumId w:val="21"/>
  </w:num>
  <w:num w:numId="36">
    <w:abstractNumId w:val="42"/>
  </w:num>
  <w:num w:numId="37">
    <w:abstractNumId w:val="16"/>
  </w:num>
  <w:num w:numId="38">
    <w:abstractNumId w:val="7"/>
  </w:num>
  <w:num w:numId="39">
    <w:abstractNumId w:val="29"/>
  </w:num>
  <w:num w:numId="40">
    <w:abstractNumId w:val="23"/>
  </w:num>
  <w:num w:numId="41">
    <w:abstractNumId w:val="33"/>
  </w:num>
  <w:num w:numId="42">
    <w:abstractNumId w:val="25"/>
  </w:num>
  <w:num w:numId="43">
    <w:abstractNumId w:val="37"/>
  </w:num>
  <w:num w:numId="44">
    <w:abstractNumId w:val="10"/>
  </w:num>
  <w:num w:numId="45">
    <w:abstractNumId w:val="14"/>
  </w:num>
  <w:num w:numId="46">
    <w:abstractNumId w:val="1"/>
  </w:num>
  <w:num w:numId="47">
    <w:abstractNumId w:val="18"/>
  </w:num>
  <w:num w:numId="48">
    <w:abstractNumId w:val="43"/>
  </w:num>
  <w:num w:numId="49">
    <w:abstractNumId w:val="2"/>
  </w:num>
  <w:num w:numId="50">
    <w:abstractNumId w:val="8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96">
    <w:name w:val="Heading 1 Char"/>
    <w:basedOn w:val="922"/>
    <w:link w:val="913"/>
    <w:uiPriority w:val="9"/>
    <w:rPr>
      <w:rFonts w:ascii="Arial" w:hAnsi="Arial" w:eastAsia="Arial" w:cs="Arial"/>
      <w:sz w:val="40"/>
      <w:szCs w:val="40"/>
    </w:rPr>
  </w:style>
  <w:style w:type="character" w:styleId="897">
    <w:name w:val="Heading 2 Char"/>
    <w:basedOn w:val="922"/>
    <w:link w:val="914"/>
    <w:uiPriority w:val="9"/>
    <w:rPr>
      <w:rFonts w:ascii="Arial" w:hAnsi="Arial" w:eastAsia="Arial" w:cs="Arial"/>
      <w:sz w:val="34"/>
    </w:rPr>
  </w:style>
  <w:style w:type="character" w:styleId="898">
    <w:name w:val="Heading 3 Char"/>
    <w:basedOn w:val="922"/>
    <w:link w:val="915"/>
    <w:uiPriority w:val="9"/>
    <w:rPr>
      <w:rFonts w:ascii="Arial" w:hAnsi="Arial" w:eastAsia="Arial" w:cs="Arial"/>
      <w:sz w:val="30"/>
      <w:szCs w:val="30"/>
    </w:rPr>
  </w:style>
  <w:style w:type="character" w:styleId="899">
    <w:name w:val="Heading 4 Char"/>
    <w:basedOn w:val="922"/>
    <w:link w:val="916"/>
    <w:uiPriority w:val="9"/>
    <w:rPr>
      <w:rFonts w:ascii="Arial" w:hAnsi="Arial" w:eastAsia="Arial" w:cs="Arial"/>
      <w:b/>
      <w:bCs/>
      <w:sz w:val="26"/>
      <w:szCs w:val="26"/>
    </w:rPr>
  </w:style>
  <w:style w:type="character" w:styleId="900">
    <w:name w:val="Heading 5 Char"/>
    <w:basedOn w:val="922"/>
    <w:link w:val="917"/>
    <w:uiPriority w:val="9"/>
    <w:rPr>
      <w:rFonts w:ascii="Arial" w:hAnsi="Arial" w:eastAsia="Arial" w:cs="Arial"/>
      <w:b/>
      <w:bCs/>
      <w:sz w:val="24"/>
      <w:szCs w:val="24"/>
    </w:rPr>
  </w:style>
  <w:style w:type="character" w:styleId="901">
    <w:name w:val="Heading 6 Char"/>
    <w:basedOn w:val="922"/>
    <w:link w:val="918"/>
    <w:uiPriority w:val="9"/>
    <w:rPr>
      <w:rFonts w:ascii="Arial" w:hAnsi="Arial" w:eastAsia="Arial" w:cs="Arial"/>
      <w:b/>
      <w:bCs/>
      <w:sz w:val="22"/>
      <w:szCs w:val="22"/>
    </w:rPr>
  </w:style>
  <w:style w:type="character" w:styleId="902">
    <w:name w:val="Heading 7 Char"/>
    <w:basedOn w:val="922"/>
    <w:link w:val="9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03">
    <w:name w:val="Heading 8 Char"/>
    <w:basedOn w:val="922"/>
    <w:link w:val="920"/>
    <w:uiPriority w:val="9"/>
    <w:rPr>
      <w:rFonts w:ascii="Arial" w:hAnsi="Arial" w:eastAsia="Arial" w:cs="Arial"/>
      <w:i/>
      <w:iCs/>
      <w:sz w:val="22"/>
      <w:szCs w:val="22"/>
    </w:rPr>
  </w:style>
  <w:style w:type="character" w:styleId="904">
    <w:name w:val="Heading 9 Char"/>
    <w:basedOn w:val="922"/>
    <w:link w:val="921"/>
    <w:uiPriority w:val="9"/>
    <w:rPr>
      <w:rFonts w:ascii="Arial" w:hAnsi="Arial" w:eastAsia="Arial" w:cs="Arial"/>
      <w:i/>
      <w:iCs/>
      <w:sz w:val="21"/>
      <w:szCs w:val="21"/>
    </w:rPr>
  </w:style>
  <w:style w:type="character" w:styleId="905">
    <w:name w:val="Title Char"/>
    <w:basedOn w:val="922"/>
    <w:link w:val="935"/>
    <w:uiPriority w:val="10"/>
    <w:rPr>
      <w:sz w:val="48"/>
      <w:szCs w:val="48"/>
    </w:rPr>
  </w:style>
  <w:style w:type="character" w:styleId="906">
    <w:name w:val="Subtitle Char"/>
    <w:basedOn w:val="922"/>
    <w:link w:val="937"/>
    <w:uiPriority w:val="11"/>
    <w:rPr>
      <w:sz w:val="24"/>
      <w:szCs w:val="24"/>
    </w:rPr>
  </w:style>
  <w:style w:type="character" w:styleId="907">
    <w:name w:val="Quote Char"/>
    <w:link w:val="939"/>
    <w:uiPriority w:val="29"/>
    <w:rPr>
      <w:i/>
    </w:rPr>
  </w:style>
  <w:style w:type="character" w:styleId="908">
    <w:name w:val="Intense Quote Char"/>
    <w:link w:val="941"/>
    <w:uiPriority w:val="30"/>
    <w:rPr>
      <w:i/>
    </w:rPr>
  </w:style>
  <w:style w:type="character" w:styleId="909">
    <w:name w:val="Caption Char"/>
    <w:basedOn w:val="922"/>
    <w:link w:val="945"/>
    <w:uiPriority w:val="35"/>
    <w:rPr>
      <w:b/>
      <w:bCs/>
      <w:color w:val="4f81bd" w:themeColor="accent1"/>
      <w:sz w:val="18"/>
      <w:szCs w:val="18"/>
    </w:rPr>
  </w:style>
  <w:style w:type="character" w:styleId="910">
    <w:name w:val="Footnote Text Char"/>
    <w:link w:val="1072"/>
    <w:uiPriority w:val="99"/>
    <w:rPr>
      <w:sz w:val="18"/>
    </w:rPr>
  </w:style>
  <w:style w:type="character" w:styleId="911">
    <w:name w:val="Endnote Text Char"/>
    <w:link w:val="1074"/>
    <w:uiPriority w:val="99"/>
    <w:rPr>
      <w:sz w:val="20"/>
    </w:rPr>
  </w:style>
  <w:style w:type="paragraph" w:styleId="91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13">
    <w:name w:val="Heading 1"/>
    <w:basedOn w:val="912"/>
    <w:next w:val="912"/>
    <w:link w:val="92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14">
    <w:name w:val="Heading 2"/>
    <w:basedOn w:val="912"/>
    <w:next w:val="912"/>
    <w:link w:val="92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15">
    <w:name w:val="Heading 3"/>
    <w:basedOn w:val="912"/>
    <w:next w:val="912"/>
    <w:link w:val="92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16">
    <w:name w:val="Heading 4"/>
    <w:basedOn w:val="912"/>
    <w:next w:val="912"/>
    <w:link w:val="92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17">
    <w:name w:val="Heading 5"/>
    <w:basedOn w:val="912"/>
    <w:next w:val="912"/>
    <w:link w:val="92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918">
    <w:name w:val="Heading 6"/>
    <w:basedOn w:val="912"/>
    <w:next w:val="912"/>
    <w:link w:val="93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19">
    <w:name w:val="Heading 7"/>
    <w:basedOn w:val="912"/>
    <w:next w:val="912"/>
    <w:link w:val="93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20">
    <w:name w:val="Heading 8"/>
    <w:basedOn w:val="912"/>
    <w:next w:val="912"/>
    <w:link w:val="93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21">
    <w:name w:val="Heading 9"/>
    <w:basedOn w:val="912"/>
    <w:next w:val="912"/>
    <w:link w:val="9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22" w:default="1">
    <w:name w:val="Default Paragraph Font"/>
    <w:uiPriority w:val="1"/>
    <w:semiHidden/>
    <w:unhideWhenUsed/>
  </w:style>
  <w:style w:type="table" w:styleId="9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4" w:default="1">
    <w:name w:val="No List"/>
    <w:uiPriority w:val="99"/>
    <w:semiHidden/>
    <w:unhideWhenUsed/>
  </w:style>
  <w:style w:type="character" w:styleId="925" w:customStyle="1">
    <w:name w:val="Заголовок 1 Знак"/>
    <w:basedOn w:val="922"/>
    <w:link w:val="913"/>
    <w:uiPriority w:val="9"/>
    <w:rPr>
      <w:rFonts w:ascii="Arial" w:hAnsi="Arial" w:eastAsia="Arial" w:cs="Arial"/>
      <w:sz w:val="40"/>
      <w:szCs w:val="40"/>
    </w:rPr>
  </w:style>
  <w:style w:type="character" w:styleId="926" w:customStyle="1">
    <w:name w:val="Заголовок 2 Знак"/>
    <w:basedOn w:val="922"/>
    <w:link w:val="914"/>
    <w:uiPriority w:val="9"/>
    <w:rPr>
      <w:rFonts w:ascii="Arial" w:hAnsi="Arial" w:eastAsia="Arial" w:cs="Arial"/>
      <w:sz w:val="34"/>
    </w:rPr>
  </w:style>
  <w:style w:type="character" w:styleId="927" w:customStyle="1">
    <w:name w:val="Заголовок 3 Знак"/>
    <w:basedOn w:val="922"/>
    <w:link w:val="915"/>
    <w:uiPriority w:val="9"/>
    <w:rPr>
      <w:rFonts w:ascii="Arial" w:hAnsi="Arial" w:eastAsia="Arial" w:cs="Arial"/>
      <w:sz w:val="30"/>
      <w:szCs w:val="30"/>
    </w:rPr>
  </w:style>
  <w:style w:type="character" w:styleId="928" w:customStyle="1">
    <w:name w:val="Заголовок 4 Знак"/>
    <w:basedOn w:val="922"/>
    <w:link w:val="916"/>
    <w:uiPriority w:val="9"/>
    <w:rPr>
      <w:rFonts w:ascii="Arial" w:hAnsi="Arial" w:eastAsia="Arial" w:cs="Arial"/>
      <w:b/>
      <w:bCs/>
      <w:sz w:val="26"/>
      <w:szCs w:val="26"/>
    </w:rPr>
  </w:style>
  <w:style w:type="character" w:styleId="929" w:customStyle="1">
    <w:name w:val="Заголовок 5 Знак"/>
    <w:basedOn w:val="922"/>
    <w:link w:val="917"/>
    <w:uiPriority w:val="9"/>
    <w:rPr>
      <w:rFonts w:ascii="Arial" w:hAnsi="Arial" w:eastAsia="Arial" w:cs="Arial"/>
      <w:b/>
      <w:bCs/>
      <w:sz w:val="24"/>
      <w:szCs w:val="24"/>
    </w:rPr>
  </w:style>
  <w:style w:type="character" w:styleId="930" w:customStyle="1">
    <w:name w:val="Заголовок 6 Знак"/>
    <w:basedOn w:val="922"/>
    <w:link w:val="918"/>
    <w:uiPriority w:val="9"/>
    <w:rPr>
      <w:rFonts w:ascii="Arial" w:hAnsi="Arial" w:eastAsia="Arial" w:cs="Arial"/>
      <w:b/>
      <w:bCs/>
      <w:sz w:val="22"/>
      <w:szCs w:val="22"/>
    </w:rPr>
  </w:style>
  <w:style w:type="character" w:styleId="931" w:customStyle="1">
    <w:name w:val="Заголовок 7 Знак"/>
    <w:basedOn w:val="922"/>
    <w:link w:val="91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932" w:customStyle="1">
    <w:name w:val="Заголовок 8 Знак"/>
    <w:basedOn w:val="922"/>
    <w:link w:val="920"/>
    <w:uiPriority w:val="9"/>
    <w:rPr>
      <w:rFonts w:ascii="Arial" w:hAnsi="Arial" w:eastAsia="Arial" w:cs="Arial"/>
      <w:i/>
      <w:iCs/>
      <w:sz w:val="22"/>
      <w:szCs w:val="22"/>
    </w:rPr>
  </w:style>
  <w:style w:type="character" w:styleId="933" w:customStyle="1">
    <w:name w:val="Заголовок 9 Знак"/>
    <w:basedOn w:val="922"/>
    <w:link w:val="921"/>
    <w:uiPriority w:val="9"/>
    <w:rPr>
      <w:rFonts w:ascii="Arial" w:hAnsi="Arial" w:eastAsia="Arial" w:cs="Arial"/>
      <w:i/>
      <w:iCs/>
      <w:sz w:val="21"/>
      <w:szCs w:val="21"/>
    </w:rPr>
  </w:style>
  <w:style w:type="paragraph" w:styleId="934">
    <w:name w:val="No Spacing"/>
    <w:uiPriority w:val="1"/>
    <w:qFormat/>
    <w:pPr>
      <w:spacing w:after="0" w:line="240" w:lineRule="auto"/>
    </w:pPr>
  </w:style>
  <w:style w:type="paragraph" w:styleId="935">
    <w:name w:val="Title"/>
    <w:basedOn w:val="912"/>
    <w:next w:val="912"/>
    <w:link w:val="9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36" w:customStyle="1">
    <w:name w:val="Заголовок Знак"/>
    <w:basedOn w:val="922"/>
    <w:link w:val="935"/>
    <w:uiPriority w:val="10"/>
    <w:rPr>
      <w:sz w:val="48"/>
      <w:szCs w:val="48"/>
    </w:rPr>
  </w:style>
  <w:style w:type="paragraph" w:styleId="937">
    <w:name w:val="Subtitle"/>
    <w:basedOn w:val="912"/>
    <w:next w:val="912"/>
    <w:link w:val="938"/>
    <w:uiPriority w:val="11"/>
    <w:qFormat/>
    <w:pPr>
      <w:spacing w:before="200" w:after="200"/>
    </w:pPr>
  </w:style>
  <w:style w:type="character" w:styleId="938" w:customStyle="1">
    <w:name w:val="Подзаголовок Знак"/>
    <w:basedOn w:val="922"/>
    <w:link w:val="937"/>
    <w:uiPriority w:val="11"/>
    <w:rPr>
      <w:sz w:val="24"/>
      <w:szCs w:val="24"/>
    </w:rPr>
  </w:style>
  <w:style w:type="paragraph" w:styleId="939">
    <w:name w:val="Quote"/>
    <w:basedOn w:val="912"/>
    <w:next w:val="912"/>
    <w:link w:val="940"/>
    <w:uiPriority w:val="29"/>
    <w:qFormat/>
    <w:pPr>
      <w:ind w:left="720" w:right="720"/>
    </w:pPr>
    <w:rPr>
      <w:i/>
    </w:rPr>
  </w:style>
  <w:style w:type="character" w:styleId="940" w:customStyle="1">
    <w:name w:val="Цитата 2 Знак"/>
    <w:link w:val="939"/>
    <w:uiPriority w:val="29"/>
    <w:rPr>
      <w:i/>
    </w:rPr>
  </w:style>
  <w:style w:type="paragraph" w:styleId="941">
    <w:name w:val="Intense Quote"/>
    <w:basedOn w:val="912"/>
    <w:next w:val="912"/>
    <w:link w:val="94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42" w:customStyle="1">
    <w:name w:val="Выделенная цитата Знак"/>
    <w:link w:val="941"/>
    <w:uiPriority w:val="30"/>
    <w:rPr>
      <w:i/>
    </w:rPr>
  </w:style>
  <w:style w:type="character" w:styleId="943" w:customStyle="1">
    <w:name w:val="Header Char"/>
    <w:basedOn w:val="922"/>
    <w:uiPriority w:val="99"/>
  </w:style>
  <w:style w:type="character" w:styleId="944" w:customStyle="1">
    <w:name w:val="Footer Char"/>
    <w:basedOn w:val="922"/>
    <w:uiPriority w:val="99"/>
  </w:style>
  <w:style w:type="paragraph" w:styleId="945">
    <w:name w:val="Caption"/>
    <w:basedOn w:val="912"/>
    <w:next w:val="912"/>
    <w:link w:val="94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46" w:customStyle="1">
    <w:name w:val="Название объекта Знак"/>
    <w:basedOn w:val="922"/>
    <w:link w:val="945"/>
    <w:uiPriority w:val="35"/>
    <w:rPr>
      <w:b/>
      <w:bCs/>
      <w:color w:val="4f81bd" w:themeColor="accent1"/>
      <w:sz w:val="18"/>
      <w:szCs w:val="18"/>
    </w:rPr>
  </w:style>
  <w:style w:type="table" w:styleId="947" w:customStyle="1">
    <w:name w:val="Table Grid Light"/>
    <w:basedOn w:val="92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948">
    <w:name w:val="Plain Table 1"/>
    <w:basedOn w:val="92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49">
    <w:name w:val="Plain Table 2"/>
    <w:basedOn w:val="92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50">
    <w:name w:val="Plain Table 3"/>
    <w:basedOn w:val="9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51">
    <w:name w:val="Plain Table 4"/>
    <w:basedOn w:val="9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>
    <w:name w:val="Plain Table 5"/>
    <w:basedOn w:val="9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53">
    <w:name w:val="Grid Table 1 Light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 w:customStyle="1">
    <w:name w:val="Grid Table 1 Light 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 w:customStyle="1">
    <w:name w:val="Grid Table 1 Light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Grid Table 1 Light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Grid Table 1 Light 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8" w:customStyle="1">
    <w:name w:val="Grid Table 1 Light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9" w:customStyle="1">
    <w:name w:val="Grid Table 1 Light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60">
    <w:name w:val="Grid Table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 w:customStyle="1">
    <w:name w:val="Grid Table 2 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 w:customStyle="1">
    <w:name w:val="Grid Table 2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Grid Table 2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Grid Table 2 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Grid Table 2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 w:customStyle="1">
    <w:name w:val="Grid Table 2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>
    <w:name w:val="Grid Table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 w:customStyle="1">
    <w:name w:val="Grid Table 3 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 w:customStyle="1">
    <w:name w:val="Grid Table 3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 w:customStyle="1">
    <w:name w:val="Grid Table 3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 w:customStyle="1">
    <w:name w:val="Grid Table 3 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 w:customStyle="1">
    <w:name w:val="Grid Table 3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 w:customStyle="1">
    <w:name w:val="Grid Table 3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Grid Table 4"/>
    <w:basedOn w:val="9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75" w:customStyle="1">
    <w:name w:val="Grid Table 4 - Accent 1"/>
    <w:basedOn w:val="9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76" w:customStyle="1">
    <w:name w:val="Grid Table 4 - Accent 2"/>
    <w:basedOn w:val="9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77" w:customStyle="1">
    <w:name w:val="Grid Table 4 - Accent 3"/>
    <w:basedOn w:val="9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78" w:customStyle="1">
    <w:name w:val="Grid Table 4 - Accent 4"/>
    <w:basedOn w:val="9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79" w:customStyle="1">
    <w:name w:val="Grid Table 4 - Accent 5"/>
    <w:basedOn w:val="9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80" w:customStyle="1">
    <w:name w:val="Grid Table 4 - Accent 6"/>
    <w:basedOn w:val="92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81">
    <w:name w:val="Grid Table 5 Dark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82" w:customStyle="1">
    <w:name w:val="Grid Table 5 Dark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83" w:customStyle="1">
    <w:name w:val="Grid Table 5 Dark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84" w:customStyle="1">
    <w:name w:val="Grid Table 5 Dark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85" w:customStyle="1">
    <w:name w:val="Grid Table 5 Dark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86" w:customStyle="1">
    <w:name w:val="Grid Table 5 Dark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87" w:customStyle="1">
    <w:name w:val="Grid Table 5 Dark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88">
    <w:name w:val="Grid Table 6 Colorful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89" w:customStyle="1">
    <w:name w:val="Grid Table 6 Colorful 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90" w:customStyle="1">
    <w:name w:val="Grid Table 6 Colorful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91" w:customStyle="1">
    <w:name w:val="Grid Table 6 Colorful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92" w:customStyle="1">
    <w:name w:val="Grid Table 6 Colorful 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93" w:customStyle="1">
    <w:name w:val="Grid Table 6 Colorful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94" w:customStyle="1">
    <w:name w:val="Grid Table 6 Colorful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95">
    <w:name w:val="Grid Table 7 Colorful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Grid Table 7 Colorful 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Grid Table 7 Colorful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8" w:customStyle="1">
    <w:name w:val="Grid Table 7 Colorful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9" w:customStyle="1">
    <w:name w:val="Grid Table 7 Colorful 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0" w:customStyle="1">
    <w:name w:val="Grid Table 7 Colorful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1" w:customStyle="1">
    <w:name w:val="Grid Table 7 Colorful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2">
    <w:name w:val="List Table 1 Light"/>
    <w:basedOn w:val="9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3" w:customStyle="1">
    <w:name w:val="List Table 1 Light - Accent 1"/>
    <w:basedOn w:val="9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4" w:customStyle="1">
    <w:name w:val="List Table 1 Light - Accent 2"/>
    <w:basedOn w:val="9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5" w:customStyle="1">
    <w:name w:val="List Table 1 Light - Accent 3"/>
    <w:basedOn w:val="9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6" w:customStyle="1">
    <w:name w:val="List Table 1 Light - Accent 4"/>
    <w:basedOn w:val="9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7" w:customStyle="1">
    <w:name w:val="List Table 1 Light - Accent 5"/>
    <w:basedOn w:val="9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8" w:customStyle="1">
    <w:name w:val="List Table 1 Light - Accent 6"/>
    <w:basedOn w:val="92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09">
    <w:name w:val="List Table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1010" w:customStyle="1">
    <w:name w:val="List Table 2 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1011" w:customStyle="1">
    <w:name w:val="List Table 2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1012" w:customStyle="1">
    <w:name w:val="List Table 2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1013" w:customStyle="1">
    <w:name w:val="List Table 2 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1014" w:customStyle="1">
    <w:name w:val="List Table 2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1015" w:customStyle="1">
    <w:name w:val="List Table 2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1016">
    <w:name w:val="List Table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7" w:customStyle="1">
    <w:name w:val="List Table 3 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8" w:customStyle="1">
    <w:name w:val="List Table 3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19" w:customStyle="1">
    <w:name w:val="List Table 3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0" w:customStyle="1">
    <w:name w:val="List Table 3 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1" w:customStyle="1">
    <w:name w:val="List Table 3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2" w:customStyle="1">
    <w:name w:val="List Table 3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3">
    <w:name w:val="List Table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4" w:customStyle="1">
    <w:name w:val="List Table 4 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5" w:customStyle="1">
    <w:name w:val="List Table 4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6" w:customStyle="1">
    <w:name w:val="List Table 4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7" w:customStyle="1">
    <w:name w:val="List Table 4 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8" w:customStyle="1">
    <w:name w:val="List Table 4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29" w:customStyle="1">
    <w:name w:val="List Table 4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30">
    <w:name w:val="List Table 5 Dark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1" w:customStyle="1">
    <w:name w:val="List Table 5 Dark 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2" w:customStyle="1">
    <w:name w:val="List Table 5 Dark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3" w:customStyle="1">
    <w:name w:val="List Table 5 Dark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4" w:customStyle="1">
    <w:name w:val="List Table 5 Dark 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5" w:customStyle="1">
    <w:name w:val="List Table 5 Dark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6" w:customStyle="1">
    <w:name w:val="List Table 5 Dark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1037">
    <w:name w:val="List Table 6 Colorful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1038" w:customStyle="1">
    <w:name w:val="List Table 6 Colorful 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1039" w:customStyle="1">
    <w:name w:val="List Table 6 Colorful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1040" w:customStyle="1">
    <w:name w:val="List Table 6 Colorful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1041" w:customStyle="1">
    <w:name w:val="List Table 6 Colorful 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1042" w:customStyle="1">
    <w:name w:val="List Table 6 Colorful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1043" w:customStyle="1">
    <w:name w:val="List Table 6 Colorful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1044">
    <w:name w:val="List Table 7 Colorful"/>
    <w:basedOn w:val="9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5" w:customStyle="1">
    <w:name w:val="List Table 7 Colorful 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6" w:customStyle="1">
    <w:name w:val="List Table 7 Colorful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7" w:customStyle="1">
    <w:name w:val="List Table 7 Colorful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8" w:customStyle="1">
    <w:name w:val="List Table 7 Colorful 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9" w:customStyle="1">
    <w:name w:val="List Table 7 Colorful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0" w:customStyle="1">
    <w:name w:val="List Table 7 Colorful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1" w:customStyle="1">
    <w:name w:val="Lined - Accent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52" w:customStyle="1">
    <w:name w:val="Lined - Accent 1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53" w:customStyle="1">
    <w:name w:val="Lined - Accent 2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54" w:customStyle="1">
    <w:name w:val="Lined - Accent 3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55" w:customStyle="1">
    <w:name w:val="Lined - Accent 4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56" w:customStyle="1">
    <w:name w:val="Lined - Accent 5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57" w:customStyle="1">
    <w:name w:val="Lined - Accent 6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58" w:customStyle="1">
    <w:name w:val="Bordered &amp; Lined - Accent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1059" w:customStyle="1">
    <w:name w:val="Bordered &amp; Lined - Accent 1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1060" w:customStyle="1">
    <w:name w:val="Bordered &amp; Lined - Accent 2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1061" w:customStyle="1">
    <w:name w:val="Bordered &amp; Lined - Accent 3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1062" w:customStyle="1">
    <w:name w:val="Bordered &amp; Lined - Accent 4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1063" w:customStyle="1">
    <w:name w:val="Bordered &amp; Lined - Accent 5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1064" w:customStyle="1">
    <w:name w:val="Bordered &amp; Lined - Accent 6"/>
    <w:basedOn w:val="92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1065" w:customStyle="1">
    <w:name w:val="Bordered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1066" w:customStyle="1">
    <w:name w:val="Bordered - Accent 1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67" w:customStyle="1">
    <w:name w:val="Bordered - Accent 2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1068" w:customStyle="1">
    <w:name w:val="Bordered - Accent 3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1069" w:customStyle="1">
    <w:name w:val="Bordered - Accent 4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1070" w:customStyle="1">
    <w:name w:val="Bordered - Accent 5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1071" w:customStyle="1">
    <w:name w:val="Bordered - Accent 6"/>
    <w:basedOn w:val="92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1072">
    <w:name w:val="footnote text"/>
    <w:basedOn w:val="912"/>
    <w:link w:val="1073"/>
    <w:uiPriority w:val="99"/>
    <w:semiHidden/>
    <w:unhideWhenUsed/>
    <w:pPr>
      <w:spacing w:after="40"/>
    </w:pPr>
    <w:rPr>
      <w:sz w:val="18"/>
    </w:rPr>
  </w:style>
  <w:style w:type="character" w:styleId="1073" w:customStyle="1">
    <w:name w:val="Текст сноски Знак"/>
    <w:link w:val="1072"/>
    <w:uiPriority w:val="99"/>
    <w:rPr>
      <w:sz w:val="18"/>
    </w:rPr>
  </w:style>
  <w:style w:type="paragraph" w:styleId="1074">
    <w:name w:val="endnote text"/>
    <w:basedOn w:val="912"/>
    <w:link w:val="1075"/>
    <w:uiPriority w:val="99"/>
    <w:semiHidden/>
    <w:unhideWhenUsed/>
    <w:rPr>
      <w:sz w:val="20"/>
    </w:rPr>
  </w:style>
  <w:style w:type="character" w:styleId="1075" w:customStyle="1">
    <w:name w:val="Текст концевой сноски Знак"/>
    <w:link w:val="1074"/>
    <w:uiPriority w:val="99"/>
    <w:rPr>
      <w:sz w:val="20"/>
    </w:rPr>
  </w:style>
  <w:style w:type="character" w:styleId="1076">
    <w:name w:val="endnote reference"/>
    <w:basedOn w:val="922"/>
    <w:uiPriority w:val="99"/>
    <w:semiHidden/>
    <w:unhideWhenUsed/>
    <w:rPr>
      <w:vertAlign w:val="superscript"/>
    </w:rPr>
  </w:style>
  <w:style w:type="paragraph" w:styleId="1077">
    <w:name w:val="toc 1"/>
    <w:basedOn w:val="912"/>
    <w:next w:val="912"/>
    <w:uiPriority w:val="39"/>
    <w:unhideWhenUsed/>
    <w:pPr>
      <w:spacing w:after="57"/>
    </w:pPr>
  </w:style>
  <w:style w:type="paragraph" w:styleId="1078">
    <w:name w:val="toc 2"/>
    <w:basedOn w:val="912"/>
    <w:next w:val="912"/>
    <w:uiPriority w:val="39"/>
    <w:unhideWhenUsed/>
    <w:pPr>
      <w:ind w:left="283"/>
      <w:spacing w:after="57"/>
    </w:pPr>
  </w:style>
  <w:style w:type="paragraph" w:styleId="1079">
    <w:name w:val="toc 4"/>
    <w:basedOn w:val="912"/>
    <w:next w:val="912"/>
    <w:uiPriority w:val="39"/>
    <w:unhideWhenUsed/>
    <w:pPr>
      <w:ind w:left="850"/>
      <w:spacing w:after="57"/>
    </w:pPr>
  </w:style>
  <w:style w:type="paragraph" w:styleId="1080">
    <w:name w:val="toc 5"/>
    <w:basedOn w:val="912"/>
    <w:next w:val="912"/>
    <w:uiPriority w:val="39"/>
    <w:unhideWhenUsed/>
    <w:pPr>
      <w:ind w:left="1134"/>
      <w:spacing w:after="57"/>
    </w:pPr>
  </w:style>
  <w:style w:type="paragraph" w:styleId="1081">
    <w:name w:val="toc 6"/>
    <w:basedOn w:val="912"/>
    <w:next w:val="912"/>
    <w:uiPriority w:val="39"/>
    <w:unhideWhenUsed/>
    <w:pPr>
      <w:ind w:left="1417"/>
      <w:spacing w:after="57"/>
    </w:pPr>
  </w:style>
  <w:style w:type="paragraph" w:styleId="1082">
    <w:name w:val="toc 7"/>
    <w:basedOn w:val="912"/>
    <w:next w:val="912"/>
    <w:uiPriority w:val="39"/>
    <w:unhideWhenUsed/>
    <w:pPr>
      <w:ind w:left="1701"/>
      <w:spacing w:after="57"/>
    </w:pPr>
  </w:style>
  <w:style w:type="paragraph" w:styleId="1083">
    <w:name w:val="toc 8"/>
    <w:basedOn w:val="912"/>
    <w:next w:val="912"/>
    <w:uiPriority w:val="39"/>
    <w:unhideWhenUsed/>
    <w:pPr>
      <w:ind w:left="1984"/>
      <w:spacing w:after="57"/>
    </w:pPr>
  </w:style>
  <w:style w:type="paragraph" w:styleId="1084">
    <w:name w:val="toc 9"/>
    <w:basedOn w:val="912"/>
    <w:next w:val="912"/>
    <w:uiPriority w:val="39"/>
    <w:unhideWhenUsed/>
    <w:pPr>
      <w:ind w:left="2268"/>
      <w:spacing w:after="57"/>
    </w:pPr>
  </w:style>
  <w:style w:type="paragraph" w:styleId="1085">
    <w:name w:val="TOC Heading"/>
    <w:uiPriority w:val="39"/>
    <w:unhideWhenUsed/>
  </w:style>
  <w:style w:type="paragraph" w:styleId="1086">
    <w:name w:val="table of figures"/>
    <w:basedOn w:val="912"/>
    <w:next w:val="912"/>
    <w:uiPriority w:val="99"/>
    <w:unhideWhenUsed/>
  </w:style>
  <w:style w:type="paragraph" w:styleId="1087">
    <w:name w:val="Header"/>
    <w:basedOn w:val="912"/>
    <w:link w:val="1088"/>
    <w:uiPriority w:val="99"/>
    <w:pPr>
      <w:tabs>
        <w:tab w:val="center" w:pos="4677" w:leader="none"/>
        <w:tab w:val="right" w:pos="9355" w:leader="none"/>
      </w:tabs>
    </w:pPr>
  </w:style>
  <w:style w:type="character" w:styleId="1088" w:customStyle="1">
    <w:name w:val="Верхний колонтитул Знак"/>
    <w:basedOn w:val="922"/>
    <w:link w:val="108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9">
    <w:name w:val="Balloon Text"/>
    <w:basedOn w:val="912"/>
    <w:link w:val="1090"/>
    <w:uiPriority w:val="99"/>
    <w:semiHidden/>
    <w:unhideWhenUsed/>
    <w:rPr>
      <w:rFonts w:ascii="Tahoma" w:hAnsi="Tahoma" w:cs="Tahoma"/>
      <w:sz w:val="16"/>
      <w:szCs w:val="16"/>
    </w:rPr>
  </w:style>
  <w:style w:type="character" w:styleId="1090" w:customStyle="1">
    <w:name w:val="Текст выноски Знак"/>
    <w:basedOn w:val="922"/>
    <w:link w:val="1089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character" w:styleId="1091">
    <w:name w:val="Hyperlink"/>
    <w:basedOn w:val="922"/>
    <w:uiPriority w:val="99"/>
    <w:unhideWhenUsed/>
    <w:rPr>
      <w:color w:val="0000ff" w:themeColor="hyperlink"/>
      <w:u w:val="single"/>
    </w:rPr>
  </w:style>
  <w:style w:type="paragraph" w:styleId="1092">
    <w:name w:val="Footer"/>
    <w:basedOn w:val="912"/>
    <w:link w:val="109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93" w:customStyle="1">
    <w:name w:val="Нижний колонтитул Знак"/>
    <w:basedOn w:val="922"/>
    <w:link w:val="109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4">
    <w:name w:val="List Number"/>
    <w:basedOn w:val="912"/>
    <w:uiPriority w:val="99"/>
    <w:unhideWhenUsed/>
    <w:pPr>
      <w:numPr>
        <w:ilvl w:val="0"/>
        <w:numId w:val="2"/>
      </w:numPr>
      <w:contextualSpacing/>
    </w:pPr>
  </w:style>
  <w:style w:type="character" w:styleId="1095">
    <w:name w:val="footnote reference"/>
    <w:basedOn w:val="922"/>
    <w:rPr>
      <w:vertAlign w:val="superscript"/>
    </w:rPr>
  </w:style>
  <w:style w:type="paragraph" w:styleId="1096">
    <w:name w:val="List Paragraph"/>
    <w:basedOn w:val="912"/>
    <w:link w:val="1102"/>
    <w:uiPriority w:val="34"/>
    <w:qFormat/>
    <w:pPr>
      <w:contextualSpacing/>
      <w:ind w:left="720"/>
    </w:pPr>
  </w:style>
  <w:style w:type="paragraph" w:styleId="1097" w:customStyle="1">
    <w:name w:val="Style12"/>
    <w:basedOn w:val="912"/>
    <w:pPr>
      <w:ind w:firstLine="691"/>
      <w:jc w:val="both"/>
      <w:spacing w:line="317" w:lineRule="exact"/>
      <w:widowControl w:val="off"/>
    </w:pPr>
  </w:style>
  <w:style w:type="character" w:styleId="1098" w:customStyle="1">
    <w:name w:val="Font Style128"/>
    <w:rPr>
      <w:rFonts w:hint="default" w:ascii="Times New Roman" w:hAnsi="Times New Roman" w:cs="Times New Roman"/>
      <w:color w:val="000000"/>
      <w:sz w:val="26"/>
      <w:szCs w:val="26"/>
    </w:rPr>
  </w:style>
  <w:style w:type="table" w:styleId="1099">
    <w:name w:val="Table Grid"/>
    <w:basedOn w:val="92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100">
    <w:name w:val="toc 3"/>
    <w:basedOn w:val="912"/>
    <w:next w:val="912"/>
    <w:semiHidden/>
    <w:pPr>
      <w:ind w:left="1979" w:right="1134" w:hanging="902"/>
      <w:spacing w:after="120"/>
      <w:tabs>
        <w:tab w:val="left" w:pos="1980" w:leader="none"/>
        <w:tab w:val="right" w:pos="10195" w:leader="dot"/>
      </w:tabs>
    </w:pPr>
    <w:rPr>
      <w:iCs/>
    </w:rPr>
  </w:style>
  <w:style w:type="character" w:styleId="1101">
    <w:name w:val="FollowedHyperlink"/>
    <w:rPr>
      <w:color w:val="800080"/>
      <w:u w:val="single"/>
    </w:rPr>
  </w:style>
  <w:style w:type="character" w:styleId="1102" w:customStyle="1">
    <w:name w:val="Абзац списка Знак"/>
    <w:link w:val="1096"/>
    <w:uiPriority w:val="34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03">
    <w:name w:val="page number"/>
    <w:rPr>
      <w:rFonts w:ascii="Times New Roman" w:hAnsi="Times New Roman"/>
      <w:sz w:val="20"/>
    </w:rPr>
  </w:style>
  <w:style w:type="character" w:styleId="1104">
    <w:name w:val="annotation reference"/>
    <w:basedOn w:val="922"/>
    <w:uiPriority w:val="99"/>
    <w:semiHidden/>
    <w:unhideWhenUsed/>
    <w:rPr>
      <w:sz w:val="16"/>
      <w:szCs w:val="16"/>
    </w:rPr>
  </w:style>
  <w:style w:type="paragraph" w:styleId="1105">
    <w:name w:val="annotation text"/>
    <w:basedOn w:val="912"/>
    <w:link w:val="1106"/>
    <w:uiPriority w:val="99"/>
    <w:semiHidden/>
    <w:unhideWhenUsed/>
    <w:rPr>
      <w:sz w:val="20"/>
      <w:szCs w:val="20"/>
    </w:rPr>
  </w:style>
  <w:style w:type="character" w:styleId="1106" w:customStyle="1">
    <w:name w:val="Текст примечания Знак"/>
    <w:basedOn w:val="922"/>
    <w:link w:val="1105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07">
    <w:name w:val="annotation subject"/>
    <w:basedOn w:val="1105"/>
    <w:next w:val="1105"/>
    <w:link w:val="1108"/>
    <w:uiPriority w:val="99"/>
    <w:semiHidden/>
    <w:unhideWhenUsed/>
    <w:rPr>
      <w:b/>
      <w:bCs/>
    </w:rPr>
  </w:style>
  <w:style w:type="character" w:styleId="1108" w:customStyle="1">
    <w:name w:val="Тема примечания Знак"/>
    <w:basedOn w:val="1106"/>
    <w:link w:val="1107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Inter RAO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kuzmina_avale</cp:lastModifiedBy>
  <cp:revision>103</cp:revision>
  <dcterms:created xsi:type="dcterms:W3CDTF">2018-06-29T13:10:00Z</dcterms:created>
  <dcterms:modified xsi:type="dcterms:W3CDTF">2026-07-16T09:20:38Z</dcterms:modified>
</cp:coreProperties>
</file>